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26-348</w:t>
      </w:r>
    </w:p>
    <w:p>
      <w:pPr>
        <w:spacing w:before="0" w:after="0" w:line="480"/>
        <w:ind w:left="120"/>
        <w:jc w:val="left"/>
      </w:pPr>
    </w:p>
    <w:p>
      <w:pPr>
        <w:spacing w:before="0" w:after="0" w:line="480"/>
        <w:ind w:left="120"/>
        <w:jc w:val="center"/>
      </w:pPr>
      <w:r>
        <w:rPr>
          <w:rFonts w:ascii="Times New Roman" w:hAnsi="Times New Roman"/>
          <w:b/>
          <w:i w:val="false"/>
          <w:color w:val="000000"/>
          <w:sz w:val="28"/>
        </w:rPr>
        <w:t>EDUCATION DEPARTMENT[281]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281—Chapters 59 and 98</w:t>
      </w:r>
    </w:p>
    <w:p>
      <w:pPr>
        <w:spacing w:before="0" w:after="0" w:line="480"/>
        <w:ind w:left="120"/>
        <w:jc w:val="center"/>
      </w:pPr>
      <w:r>
        <w:rPr>
          <w:rFonts w:ascii="Times New Roman" w:hAnsi="Times New Roman"/>
          <w:b w:val="false"/>
          <w:i w:val="false"/>
          <w:color w:val="000000"/>
          <w:sz w:val="24"/>
        </w:rPr>
        <w:t xml:space="preserve">“Gifted and Talented Programs; Financial </w:t>
      </w:r>
      <w:r>
        <w:br/>
      </w:r>
      <w:r>
        <w:rPr>
          <w:rFonts w:ascii="Times New Roman" w:hAnsi="Times New Roman"/>
          <w:b w:val="false"/>
          <w:i w:val="false"/>
          <w:color w:val="000000"/>
          <w:sz w:val="24"/>
        </w:rPr>
        <w:t>Management of Categorical Funding”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257.42(4)</w:t>
      </w:r>
    </w:p>
    <w:p>
      <w:pPr>
        <w:spacing w:before="0" w:after="0" w:line="480"/>
        <w:ind w:left="120"/>
        <w:jc w:val="both"/>
      </w:pPr>
      <w:r>
        <w:rPr>
          <w:rFonts w:ascii="Times New Roman" w:hAnsi="Times New Roman"/>
          <w:b w:val="false"/>
          <w:i w:val="false"/>
          <w:color w:val="000000"/>
          <w:sz w:val="24"/>
        </w:rPr>
        <w:t>State or federal law(s) implemented by the rulemaking: 2026 Iowa Acts, Senate File 2220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8 to 9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 xml:space="preserve">Online at </w:t>
            </w:r>
            <w:hyperlink r:id="rId4">
              <w:r>
                <w:rPr>
                  <w:rStyle w:val="Hyperlink"/>
                  <w:rFonts w:ascii="Times New Roman" w:hAnsi="Times New Roman"/>
                  <w:b w:val="false"/>
                  <w:i w:val="false"/>
                  <w:color w:val="0000ff"/>
                  <w:sz w:val="14"/>
                </w:rPr>
                <w:t>meet.google.com/uzu-nfiq-jca</w:t>
              </w:r>
            </w:hyperlink>
            <w:r>
              <w:br/>
            </w:r>
            <w:r>
              <w:rPr>
                <w:rFonts w:ascii="Times New Roman" w:hAnsi="Times New Roman"/>
                <w:b w:val="false"/>
                <w:i w:val="false"/>
                <w:color w:val="000000"/>
                <w:sz w:val="14"/>
              </w:rPr>
              <w:t xml:space="preserve">Phone: 1.929.276.1400 </w:t>
            </w:r>
            <w:r>
              <w:br/>
            </w:r>
            <w:r>
              <w:rPr>
                <w:rFonts w:ascii="Times New Roman" w:hAnsi="Times New Roman"/>
                <w:b w:val="false"/>
                <w:i w:val="false"/>
                <w:color w:val="000000"/>
                <w:sz w:val="14"/>
              </w:rPr>
              <w:t>PIN: ‪992 943 978#</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Education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Grimes State Office Building </w:t>
            </w:r>
            <w:r>
              <w:br/>
            </w:r>
            <w:r>
              <w:rPr>
                <w:rFonts w:ascii="Times New Roman" w:hAnsi="Times New Roman"/>
                <w:b w:val="false"/>
                <w:i w:val="false"/>
                <w:color w:val="000000"/>
                <w:sz w:val="14"/>
              </w:rPr>
              <w:t xml:space="preserve">400 East 14th Street </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rules in light of 2026 Iowa Acts, Senate File 2220; provides additional flexibility; removes obsolete language, rules, and statutory references; and removes duplicative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School districts will bear the costs of compliance. According to the Fiscal Note accompanying Senate File 2220, the cost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Individuals who receive gifted and talented programming will benefit from the clarity and flexibility this rulemaking provides.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quantitative impact is unknown.</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unknown.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Implementation costs are expected to be minimal and absorbed within existing agency resources.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Iowa Code section 257.42(4) requires rulemaking, so no comparison is required.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alternatives were considered. Iowa Code section 257.42(4) requires rulemaking, so no comparison is required.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could be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section 257.42(4) requires rulemaking, so no comparison is required.</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known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59.4(2)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59.4(2)</w:t>
      </w:r>
      <w:r>
        <w:rPr>
          <w:rFonts w:ascii="Times New Roman" w:hAnsi="Times New Roman"/>
          <w:b w:val="false"/>
          <w:i w:val="false"/>
          <w:color w:val="000000"/>
          <w:sz w:val="24"/>
        </w:rPr>
        <w:t> </w:t>
      </w:r>
      <w:r>
        <w:rPr>
          <w:rFonts w:ascii="Times New Roman" w:hAnsi="Times New Roman"/>
          <w:b w:val="false"/>
          <w:i/>
          <w:color w:val="000000"/>
          <w:sz w:val="24"/>
        </w:rPr>
        <w:t xml:space="preserve">Development of curriculum and instructional strategies.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a.</w:t>
      </w:r>
      <w:r>
        <w:rPr>
          <w:rFonts w:ascii="Times New Roman" w:hAnsi="Times New Roman"/>
          <w:b w:val="false"/>
          <w:i w:val="false"/>
          <w:color w:val="000000"/>
          <w:sz w:val="24"/>
        </w:rPr>
        <w:t>The program of instruction will</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include the elements set forth in Iowa Code section </w:t>
      </w:r>
      <w:hyperlink r:id="rId6">
        <w:r>
          <w:rPr>
            <w:rStyle w:val="Hyperlink"/>
            <w:rFonts w:ascii="Times New Roman" w:hAnsi="Times New Roman"/>
            <w:b w:val="false"/>
            <w:i w:val="false"/>
            <w:color w:val="000000"/>
            <w:sz w:val="24"/>
            <w:u w:val="single"/>
          </w:rPr>
          <w:t>257.42</w:t>
        </w:r>
      </w:hyperlink>
      <w:r>
        <w:rPr>
          <w:rFonts w:ascii="Times New Roman" w:hAnsi="Times New Roman"/>
          <w:b w:val="false"/>
          <w:i w:val="false"/>
          <w:color w:val="000000"/>
          <w:sz w:val="24"/>
          <w:u w:val="single"/>
        </w:rPr>
        <w:t xml:space="preserve"> and will</w:t>
      </w:r>
      <w:r>
        <w:rPr>
          <w:rFonts w:ascii="Times New Roman" w:hAnsi="Times New Roman"/>
          <w:b w:val="false"/>
          <w:i w:val="false"/>
          <w:color w:val="000000"/>
          <w:sz w:val="24"/>
        </w:rPr>
        <w:t xml:space="preserve"> consist of content and teaching strategies that reflect the accelerative pace, intellectual processes and creative abilities that characterize gifted and talented students. </w:t>
      </w:r>
      <w:r>
        <w:rPr>
          <w:rFonts w:ascii="Times New Roman" w:hAnsi="Times New Roman"/>
          <w:b w:val="false"/>
          <w:i w:val="false"/>
          <w:strike/>
          <w:color w:val="000000"/>
          <w:sz w:val="24"/>
        </w:rPr>
        <w:t>A linkage among the selection of students, the anticipated student outcomes and the special instructional programs will be evident. Learning</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Specialized instructional</w:t>
      </w:r>
      <w:r>
        <w:rPr>
          <w:rFonts w:ascii="Times New Roman" w:hAnsi="Times New Roman"/>
          <w:b w:val="false"/>
          <w:i w:val="false"/>
          <w:color w:val="000000"/>
          <w:sz w:val="24"/>
        </w:rPr>
        <w:t xml:space="preserve"> activities will provide for the development of skills that are beyond the scope of the regular classroom</w:t>
      </w:r>
      <w:r>
        <w:rPr>
          <w:rFonts w:ascii="Times New Roman" w:hAnsi="Times New Roman"/>
          <w:b w:val="false"/>
          <w:i w:val="false"/>
          <w:strike/>
          <w:color w:val="000000"/>
          <w:sz w:val="24"/>
        </w:rPr>
        <w:t>, introduce advanced concepts and contents, and offer students a greater latitude of inquiry than would be possible without the specialized instructional program</w:t>
      </w:r>
      <w:r>
        <w:rPr>
          <w:rFonts w:ascii="Times New Roman" w:hAnsi="Times New Roman"/>
          <w:b w:val="false"/>
          <w:i w:val="false"/>
          <w:color w:val="000000"/>
          <w:sz w:val="24"/>
        </w:rPr>
        <w:t>. Specialized instructional activities are those not ordinarily found in the regular school program and may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a.</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(1)</w:t>
      </w:r>
      <w:r>
        <w:rPr>
          <w:rFonts w:ascii="Times New Roman" w:hAnsi="Times New Roman"/>
          <w:b w:val="false"/>
          <w:i w:val="false"/>
          <w:color w:val="000000"/>
          <w:sz w:val="24"/>
        </w:rPr>
        <w:t xml:space="preserve">A special curriculum supplementing the regular curriculum, using a high level of cognitive </w:t>
      </w:r>
      <w:r>
        <w:rPr>
          <w:rFonts w:ascii="Times New Roman" w:hAnsi="Times New Roman"/>
          <w:b w:val="false"/>
          <w:i w:val="false"/>
          <w:strike/>
          <w:color w:val="000000"/>
          <w:sz w:val="24"/>
        </w:rPr>
        <w:t>and affective</w:t>
      </w:r>
      <w:r>
        <w:rPr>
          <w:rFonts w:ascii="Times New Roman" w:hAnsi="Times New Roman"/>
          <w:b w:val="false"/>
          <w:i w:val="false"/>
          <w:color w:val="000000"/>
          <w:sz w:val="24"/>
        </w:rPr>
        <w:t xml:space="preserve"> concepts and processes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character development</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(2)</w:t>
      </w:r>
      <w:r>
        <w:rPr>
          <w:rFonts w:ascii="Times New Roman" w:hAnsi="Times New Roman"/>
          <w:b w:val="false"/>
          <w:i w:val="false"/>
          <w:color w:val="000000"/>
          <w:sz w:val="24"/>
        </w:rPr>
        <w:t>Flexible instructional arrangements, such as special classes, seminars, resource rooms, independent study, student internships, mentorships, research field trips, and research centers.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b.</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Gifted and talented services will be thoughtfully designed to ensure that identified students receive instruction and educational opportunities that extend beyond the regular school program. Services will promote continued academic growth by developing advanced knowledge and skills; introducing more rigorous concepts and content; and providing opportunities for greater depth, complexity, creativity, and inquiry than would typically be available in the general classroom.</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59.4(5)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59.4(5)</w:t>
      </w:r>
      <w:r>
        <w:rPr>
          <w:rFonts w:ascii="Times New Roman" w:hAnsi="Times New Roman"/>
          <w:b w:val="false"/>
          <w:i w:val="false"/>
          <w:color w:val="000000"/>
          <w:sz w:val="24"/>
        </w:rPr>
        <w:t> </w:t>
      </w:r>
      <w:r>
        <w:rPr>
          <w:rFonts w:ascii="Times New Roman" w:hAnsi="Times New Roman"/>
          <w:b w:val="false"/>
          <w:i/>
          <w:color w:val="000000"/>
          <w:sz w:val="24"/>
        </w:rPr>
        <w:t xml:space="preserve">Student identification criteria and procedures. </w:t>
      </w:r>
      <w:r>
        <w:rPr>
          <w:rFonts w:ascii="Times New Roman" w:hAnsi="Times New Roman"/>
          <w:b w:val="false"/>
          <w:i w:val="false"/>
          <w:color w:val="000000"/>
          <w:sz w:val="24"/>
        </w:rPr>
        <w:t xml:space="preserve">Students will be placed in a gifted and talented program in accordance with </w:t>
      </w:r>
      <w:r>
        <w:rPr>
          <w:rFonts w:ascii="Times New Roman" w:hAnsi="Times New Roman"/>
          <w:b w:val="false"/>
          <w:i w:val="false"/>
          <w:strike/>
          <w:color w:val="000000"/>
          <w:sz w:val="24"/>
        </w:rPr>
        <w:t>systematic and uniform identification procedures that encompass all grade levels and that are characterized by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the elements set forth in Iowa Code section </w:t>
      </w:r>
      <w:hyperlink r:id="rId7">
        <w:r>
          <w:rPr>
            <w:rStyle w:val="Hyperlink"/>
            <w:rFonts w:ascii="Times New Roman" w:hAnsi="Times New Roman"/>
            <w:b w:val="false"/>
            <w:i w:val="false"/>
            <w:color w:val="000000"/>
            <w:sz w:val="24"/>
            <w:u w:val="single"/>
          </w:rPr>
          <w:t>257.42</w:t>
        </w:r>
      </w:hyperlink>
      <w:r>
        <w:rPr>
          <w:rFonts w:ascii="Times New Roman" w:hAnsi="Times New Roman"/>
          <w:b w:val="false"/>
          <w:i w:val="false"/>
          <w:color w:val="000000"/>
          <w:sz w:val="24"/>
          <w:u w:val="single"/>
        </w:rPr>
        <w:t xml:space="preserve"> as well as</w:t>
      </w:r>
      <w:r>
        <w:rPr>
          <w:rFonts w:ascii="Times New Roman" w:hAnsi="Times New Roman"/>
          <w:b w:val="false"/>
          <w:i w:val="false"/>
          <w:color w:val="000000"/>
          <w:sz w:val="24"/>
        </w:rPr>
        <w:t xml:space="preserv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Identification will be for the purpose of determining the appropriateness of placement in a gifted and talented program, rather than for categorically labeling a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b.</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The decision to provide a student with a gifted and talented program will be based on a comprehensive appraisal of the student, consideration of the nature of the available gifted and talented program and an assessment of actual and potential opportunities within the student’s regular school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c.</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Multiple criteria will be used in identifying a student, with no single criteria eliminating a student from participation. Criteria will combine subjective and objective data, including data with direct relevance to program goals, objectives and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u w:val="single"/>
        </w:rPr>
        <w:t>b.</w:t>
      </w:r>
      <w:r>
        <w:rPr>
          <w:rFonts w:ascii="Times New Roman" w:hAnsi="Times New Roman"/>
          <w:b w:val="false"/>
          <w:i w:val="false"/>
          <w:color w:val="000000"/>
          <w:sz w:val="24"/>
        </w:rPr>
        <w:t>In the event that the number of eligible students exceeds the available openings, participants will be selected according to the extent to which they can benefit from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strike/>
          <w:color w:val="000000"/>
          <w:sz w:val="24"/>
        </w:rPr>
        <w:t>e.</w:t>
      </w:r>
      <w:r>
        <w:rPr>
          <w:rFonts w:ascii="Times New Roman" w:hAnsi="Times New Roman"/>
          <w:b w:val="false"/>
          <w:i w:val="false"/>
          <w:color w:val="000000"/>
          <w:sz w:val="24"/>
        </w:rPr>
        <w:t>  </w:t>
      </w:r>
      <w:r>
        <w:rPr>
          <w:rFonts w:ascii="Times New Roman" w:hAnsi="Times New Roman"/>
          <w:b w:val="false"/>
          <w:i w:val="false"/>
          <w:strike/>
          <w:color w:val="000000"/>
          <w:sz w:val="24"/>
        </w:rPr>
        <w:t> </w:t>
      </w:r>
      <w:r>
        <w:rPr>
          <w:rFonts w:ascii="Times New Roman" w:hAnsi="Times New Roman"/>
          <w:b w:val="false"/>
          <w:i w:val="false"/>
          <w:strike/>
          <w:color w:val="000000"/>
          <w:sz w:val="24"/>
        </w:rPr>
        <w:t>Each identified student’s progress will be reviewed at least annually to consider modifications in program or student placement.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59.4(6)“c”</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Both cognitive </w:t>
      </w:r>
      <w:r>
        <w:rPr>
          <w:rFonts w:ascii="Times New Roman" w:hAnsi="Times New Roman"/>
          <w:b w:val="false"/>
          <w:i w:val="false"/>
          <w:strike/>
          <w:color w:val="000000"/>
          <w:sz w:val="24"/>
        </w:rPr>
        <w:t>and affective</w:t>
      </w:r>
      <w:r>
        <w:rPr>
          <w:rFonts w:ascii="Times New Roman" w:hAnsi="Times New Roman"/>
          <w:b w:val="false"/>
          <w:i w:val="false"/>
          <w:color w:val="000000"/>
          <w:sz w:val="24"/>
        </w:rPr>
        <w:t xml:space="preserve"> components of student development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and character development</w:t>
      </w:r>
      <w:r>
        <w:rPr>
          <w:rFonts w:ascii="Times New Roman" w:hAnsi="Times New Roman"/>
          <w:b w:val="false"/>
          <w:i w:val="false"/>
          <w:color w:val="000000"/>
          <w:sz w:val="24"/>
        </w:rPr>
        <w:t xml:space="preserve"> should be evaluated.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281—98.20(257)</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281—98.20</w:t>
      </w:r>
      <w:r>
        <w:rPr>
          <w:rFonts w:ascii="Times New Roman" w:hAnsi="Times New Roman"/>
          <w:b/>
          <w:i w:val="false"/>
          <w:color w:val="000000"/>
          <w:sz w:val="24"/>
        </w:rPr>
        <w:t xml:space="preserve">(257) </w:t>
      </w:r>
      <w:r>
        <w:rPr>
          <w:rFonts w:ascii="Times New Roman" w:hAnsi="Times New Roman"/>
          <w:b/>
          <w:i w:val="false"/>
          <w:color w:val="000000"/>
          <w:sz w:val="24"/>
        </w:rPr>
        <w:t xml:space="preserve">Gifted and talented program. </w:t>
      </w:r>
      <w:r>
        <w:rPr>
          <w:rFonts w:ascii="Times New Roman" w:hAnsi="Times New Roman"/>
          <w:b w:val="false"/>
          <w:i w:val="false"/>
          <w:color w:val="000000"/>
          <w:sz w:val="24"/>
        </w:rPr>
        <w:t xml:space="preserve">Gifted and talented program funding is included in the school district cost per pupil calculated for each school district under the school foundation formula. The per-pupil amount increases each year by the supplemental state aid percentage. This amount must account for not more than 75 percent of the school district’s total gifted and talented program budget. The school district must also provide a local match from the school district’s regular program district cost, and the local match portion must be a minimum of 25 percent of the total gifted and talented program budget. In addition, school districts may receive donations and grants, and the school district may contribute more local school district resources toward the gifted and talented program. The 75 percent portion, the local match, amounts designated from the flexibility account as described in rule </w:t>
      </w:r>
      <w:hyperlink r:id="rId8">
        <w:r>
          <w:rPr>
            <w:rStyle w:val="Hyperlink"/>
            <w:rFonts w:ascii="Times New Roman" w:hAnsi="Times New Roman"/>
            <w:b w:val="false"/>
            <w:i w:val="false"/>
            <w:color w:val="000000"/>
            <w:sz w:val="24"/>
          </w:rPr>
          <w:t>281—98.27</w:t>
        </w:r>
      </w:hyperlink>
      <w:r>
        <w:rPr>
          <w:rFonts w:ascii="Times New Roman" w:hAnsi="Times New Roman"/>
          <w:b w:val="false"/>
          <w:i w:val="false"/>
          <w:color w:val="000000"/>
          <w:sz w:val="24"/>
        </w:rPr>
        <w:t>(257,298A), and all donations and grants will be accounted for as categorical funding.</w:t>
      </w:r>
    </w:p>
    <w:p>
      <w:pPr>
        <w:spacing w:before="0" w:after="0" w:line="480"/>
        <w:ind w:left="120"/>
        <w:jc w:val="both"/>
      </w:pPr>
      <w:r>
        <w:rPr>
          <w:rFonts w:ascii="Times New Roman" w:hAnsi="Times New Roman"/>
          <w:b w:val="false"/>
          <w:i w:val="false"/>
          <w:color w:val="000000"/>
          <w:sz w:val="24"/>
        </w:rPr>
        <w:t xml:space="preserve">The purpose of the gifted and talented funding described in Iowa Code section </w:t>
      </w:r>
      <w:hyperlink r:id="rId9">
        <w:r>
          <w:rPr>
            <w:rStyle w:val="Hyperlink"/>
            <w:rFonts w:ascii="Times New Roman" w:hAnsi="Times New Roman"/>
            <w:b w:val="false"/>
            <w:i w:val="false"/>
            <w:color w:val="000000"/>
            <w:sz w:val="24"/>
          </w:rPr>
          <w:t>257.46</w:t>
        </w:r>
      </w:hyperlink>
      <w:r>
        <w:rPr>
          <w:rFonts w:ascii="Times New Roman" w:hAnsi="Times New Roman"/>
          <w:b w:val="false"/>
          <w:i w:val="false"/>
          <w:color w:val="000000"/>
          <w:sz w:val="24"/>
        </w:rPr>
        <w:t xml:space="preserve"> is to provide for identified gifted students’ needs beyond those provided by the regular school program pursuant to </w:t>
      </w:r>
      <w:r>
        <w:rPr>
          <w:rFonts w:ascii="Times New Roman" w:hAnsi="Times New Roman"/>
          <w:b w:val="false"/>
          <w:i w:val="false"/>
          <w:strike/>
          <w:color w:val="000000"/>
          <w:sz w:val="24"/>
        </w:rPr>
        <w:t>each gifted student’s individualized</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the</w:t>
      </w:r>
      <w:r>
        <w:rPr>
          <w:rFonts w:ascii="Times New Roman" w:hAnsi="Times New Roman"/>
          <w:b w:val="false"/>
          <w:i w:val="false"/>
          <w:color w:val="000000"/>
          <w:sz w:val="24"/>
        </w:rPr>
        <w:t xml:space="preserve"> plan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developed pursuant to rule </w:t>
      </w:r>
      <w:hyperlink r:id="rId10">
        <w:r>
          <w:rPr>
            <w:rStyle w:val="Hyperlink"/>
            <w:rFonts w:ascii="Times New Roman" w:hAnsi="Times New Roman"/>
            <w:b w:val="false"/>
            <w:i w:val="false"/>
            <w:color w:val="000000"/>
            <w:sz w:val="24"/>
            <w:u w:val="single"/>
          </w:rPr>
          <w:t>281—59.3</w:t>
        </w:r>
      </w:hyperlink>
      <w:r>
        <w:rPr>
          <w:rFonts w:ascii="Times New Roman" w:hAnsi="Times New Roman"/>
          <w:b w:val="false"/>
          <w:i w:val="false"/>
          <w:color w:val="000000"/>
          <w:sz w:val="24"/>
          <w:u w:val="single"/>
        </w:rPr>
        <w:t>(257)</w:t>
      </w:r>
      <w:r>
        <w:rPr>
          <w:rFonts w:ascii="Times New Roman" w:hAnsi="Times New Roman"/>
          <w:b w:val="false"/>
          <w:i w:val="false"/>
          <w:color w:val="000000"/>
          <w:sz w:val="24"/>
        </w:rPr>
        <w:t>. The funding will be used only for expenditures that are directly related to providing the gifted and talented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98.20(1)</w:t>
      </w:r>
      <w:r>
        <w:rPr>
          <w:rFonts w:ascii="Times New Roman" w:hAnsi="Times New Roman"/>
          <w:b w:val="false"/>
          <w:i w:val="false"/>
          <w:color w:val="000000"/>
          <w:sz w:val="24"/>
        </w:rPr>
        <w:t> </w:t>
      </w:r>
      <w:r>
        <w:rPr>
          <w:rFonts w:ascii="Times New Roman" w:hAnsi="Times New Roman"/>
          <w:b w:val="false"/>
          <w:i/>
          <w:color w:val="000000"/>
          <w:sz w:val="24"/>
        </w:rPr>
        <w:t xml:space="preserve">Appropriate uses of categorical funding. </w:t>
      </w:r>
      <w:r>
        <w:rPr>
          <w:rFonts w:ascii="Times New Roman" w:hAnsi="Times New Roman"/>
          <w:b w:val="false"/>
          <w:i w:val="false"/>
          <w:color w:val="000000"/>
          <w:sz w:val="24"/>
        </w:rPr>
        <w:t>Appropriate uses of the gifted and talented program funding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e.</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 xml:space="preserve">Staff development for other teachers; however, staff development under this paragraph is limited to implementation of the district’s program plan pursuant to rule </w:t>
      </w:r>
      <w:hyperlink r:id="rId11">
        <w:r>
          <w:rPr>
            <w:rStyle w:val="Hyperlink"/>
            <w:rFonts w:ascii="Times New Roman" w:hAnsi="Times New Roman"/>
            <w:b w:val="false"/>
            <w:i w:val="false"/>
            <w:color w:val="000000"/>
            <w:sz w:val="24"/>
            <w:u w:val="single"/>
          </w:rPr>
          <w:t>281—59.3</w:t>
        </w:r>
      </w:hyperlink>
      <w:r>
        <w:rPr>
          <w:rFonts w:ascii="Times New Roman" w:hAnsi="Times New Roman"/>
          <w:b w:val="false"/>
          <w:i w:val="false"/>
          <w:color w:val="000000"/>
          <w:sz w:val="24"/>
          <w:u w:val="single"/>
        </w:rPr>
        <w:t>(257) for identified students. Professional development on acceleration or general enrichment for all learners is not covered by this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f.</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Salary and benefits for a paraeducator who supports the instruction of gifted and talented students. If the paraeducator is a part-time paraeducator for gifted and talented students, then only the portion of time that is related to the gifted and talented program may be charged to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u w:val="single"/>
        </w:rPr>
        <w:t>g.</w:t>
      </w:r>
      <w:r>
        <w:rPr>
          <w:rFonts w:ascii="Times New Roman" w:hAnsi="Times New Roman"/>
          <w:b w:val="false"/>
          <w:i w:val="false"/>
          <w:color w:val="000000"/>
          <w:sz w:val="24"/>
        </w:rPr>
        <w:t>  </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Reimbursement, beyond the cost of an initial license, for the costs of a staff member to obtain a gifted and talented endorsement.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98.20(2)</w:t>
      </w:r>
      <w:r>
        <w:rPr>
          <w:rFonts w:ascii="Times New Roman" w:hAnsi="Times New Roman"/>
          <w:b w:val="false"/>
          <w:i w:val="false"/>
          <w:color w:val="000000"/>
          <w:sz w:val="24"/>
        </w:rPr>
        <w:t xml:space="preserve"> and </w:t>
      </w:r>
      <w:r>
        <w:rPr>
          <w:rFonts w:ascii="Times New Roman" w:hAnsi="Times New Roman"/>
          <w:b/>
          <w:i w:val="false"/>
          <w:color w:val="000000"/>
          <w:sz w:val="24"/>
        </w:rPr>
        <w:t>98.20(3)</w:t>
      </w:r>
      <w:r>
        <w:rPr>
          <w:rFonts w:ascii="Times New Roman" w:hAnsi="Times New Roman"/>
          <w:b w:val="false"/>
          <w:i w:val="false"/>
          <w:color w:val="000000"/>
          <w:sz w:val="24"/>
        </w:rPr>
        <w:t xml:space="preserve"> No change.</w:t>
      </w:r>
    </w:p>
    <w:p>
      <w:pPr>
        <w:spacing w:before="0" w:after="0" w:line="240"/>
        <w:ind w:left="120"/>
        <w:jc w:val="both"/>
      </w:pP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uzu-nfiq-jca" Type="http://schemas.openxmlformats.org/officeDocument/2006/relationships/hyperlink" Id="rId4"/>
    <Relationship TargetMode="External" Target="mailto:thomas.mayes@iowa.gov" Type="http://schemas.openxmlformats.org/officeDocument/2006/relationships/hyperlink" Id="rId5"/>
    <Relationship TargetMode="External" Target="https://www.legis.iowa.gov/docs/ico/chapter/257.42.pdf" Type="http://schemas.openxmlformats.org/officeDocument/2006/relationships/hyperlink" Id="rId6"/>
    <Relationship TargetMode="External" Target="https://www.legis.iowa.gov/docs/ico/chapter/257.42.pdf" Type="http://schemas.openxmlformats.org/officeDocument/2006/relationships/hyperlink" Id="rId7"/>
    <Relationship TargetMode="External" Target="https://www.legis.iowa.gov/docs/iac/rule/281.98.27.pdf" Type="http://schemas.openxmlformats.org/officeDocument/2006/relationships/hyperlink" Id="rId8"/>
    <Relationship TargetMode="External" Target="https://www.legis.iowa.gov/docs/ico/chapter/257.46.pdf" Type="http://schemas.openxmlformats.org/officeDocument/2006/relationships/hyperlink" Id="rId9"/>
    <Relationship TargetMode="External" Target="https://www.legis.iowa.gov/docs/iac/rule/281.59.3.pdf" Type="http://schemas.openxmlformats.org/officeDocument/2006/relationships/hyperlink" Id="rId10"/>
    <Relationship TargetMode="External" Target="https://www.legis.iowa.gov/docs/iac/rule/281.59.3.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